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85" w:rsidRPr="00BF1532" w:rsidRDefault="008F7585" w:rsidP="008F7585">
      <w:pPr>
        <w:widowControl/>
        <w:shd w:val="clear" w:color="auto" w:fill="FFFFFF"/>
        <w:spacing w:line="360" w:lineRule="atLeast"/>
        <w:ind w:firstLineChars="200" w:firstLine="643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  <w:bdr w:val="none" w:sz="0" w:space="0" w:color="auto" w:frame="1"/>
        </w:rPr>
      </w:pPr>
      <w:r w:rsidRPr="009C2051">
        <w:rPr>
          <w:rFonts w:ascii="仿宋" w:eastAsia="仿宋" w:hAnsi="仿宋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中国科学院新疆理化技术研究所经济合同审批单</w:t>
      </w:r>
      <w:r w:rsidRPr="009C20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4394"/>
      </w:tblGrid>
      <w:tr w:rsidR="008F7585" w:rsidTr="008F7585">
        <w:trPr>
          <w:trHeight w:val="779"/>
        </w:trPr>
        <w:tc>
          <w:tcPr>
            <w:tcW w:w="3652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  <w:r w:rsidRPr="009C2051">
              <w:rPr>
                <w:rFonts w:ascii="仿宋" w:eastAsia="仿宋" w:hAnsi="仿宋" w:hint="eastAsia"/>
                <w:color w:val="333333"/>
                <w:sz w:val="32"/>
                <w:szCs w:val="32"/>
                <w:bdr w:val="none" w:sz="0" w:space="0" w:color="auto" w:frame="1"/>
              </w:rPr>
              <w:t>合同编号</w:t>
            </w:r>
            <w:r w:rsidRPr="009C2051">
              <w:rPr>
                <w:rFonts w:hint="eastAsia"/>
                <w:color w:val="333333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394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</w:p>
        </w:tc>
      </w:tr>
      <w:tr w:rsidR="008F7585" w:rsidTr="008F7585">
        <w:trPr>
          <w:trHeight w:val="705"/>
        </w:trPr>
        <w:tc>
          <w:tcPr>
            <w:tcW w:w="3652" w:type="dxa"/>
            <w:vMerge w:val="restart"/>
            <w:vAlign w:val="center"/>
          </w:tcPr>
          <w:p w:rsidR="008F7585" w:rsidRPr="009C2051" w:rsidRDefault="008F7585" w:rsidP="00600E52">
            <w:pPr>
              <w:pStyle w:val="a3"/>
              <w:spacing w:line="360" w:lineRule="atLeast"/>
              <w:jc w:val="both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  <w:r w:rsidRPr="009C2051">
              <w:rPr>
                <w:rFonts w:ascii="仿宋" w:eastAsia="仿宋" w:hAnsi="仿宋" w:hint="eastAsia"/>
                <w:color w:val="333333"/>
                <w:sz w:val="32"/>
                <w:szCs w:val="32"/>
                <w:bdr w:val="none" w:sz="0" w:space="0" w:color="auto" w:frame="1"/>
              </w:rPr>
              <w:t>承办部门</w:t>
            </w:r>
          </w:p>
        </w:tc>
        <w:tc>
          <w:tcPr>
            <w:tcW w:w="4394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</w:p>
        </w:tc>
      </w:tr>
      <w:tr w:rsidR="008F7585" w:rsidTr="008F7585">
        <w:trPr>
          <w:trHeight w:val="700"/>
        </w:trPr>
        <w:tc>
          <w:tcPr>
            <w:tcW w:w="3652" w:type="dxa"/>
            <w:vMerge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8F7585" w:rsidRPr="009C2051" w:rsidRDefault="008F7585" w:rsidP="00600E52">
            <w:pPr>
              <w:pStyle w:val="a3"/>
              <w:spacing w:line="360" w:lineRule="atLeast"/>
              <w:ind w:firstLineChars="300" w:firstLine="960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  <w:r w:rsidRPr="009C2051">
              <w:rPr>
                <w:rFonts w:ascii="仿宋" w:eastAsia="仿宋" w:hAnsi="仿宋" w:hint="eastAsia"/>
                <w:color w:val="333333"/>
                <w:sz w:val="32"/>
                <w:szCs w:val="32"/>
                <w:bdr w:val="none" w:sz="0" w:space="0" w:color="auto" w:frame="1"/>
              </w:rPr>
              <w:t xml:space="preserve">年　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9C2051">
              <w:rPr>
                <w:rFonts w:ascii="仿宋" w:eastAsia="仿宋" w:hAnsi="仿宋" w:hint="eastAsia"/>
                <w:color w:val="333333"/>
                <w:sz w:val="32"/>
                <w:szCs w:val="32"/>
                <w:bdr w:val="none" w:sz="0" w:space="0" w:color="auto" w:frame="1"/>
              </w:rPr>
              <w:t xml:space="preserve"> 月　  日</w:t>
            </w:r>
          </w:p>
        </w:tc>
      </w:tr>
      <w:tr w:rsidR="008F7585" w:rsidTr="008F7585">
        <w:trPr>
          <w:trHeight w:val="315"/>
        </w:trPr>
        <w:tc>
          <w:tcPr>
            <w:tcW w:w="3652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  <w:r w:rsidRPr="009C2051">
              <w:rPr>
                <w:rFonts w:ascii="仿宋" w:eastAsia="仿宋" w:hAnsi="仿宋" w:hint="eastAsia"/>
                <w:color w:val="333333"/>
                <w:sz w:val="32"/>
                <w:szCs w:val="32"/>
                <w:bdr w:val="none" w:sz="0" w:space="0" w:color="auto" w:frame="1"/>
              </w:rPr>
              <w:t>对方名称</w:t>
            </w:r>
          </w:p>
        </w:tc>
        <w:tc>
          <w:tcPr>
            <w:tcW w:w="4394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</w:p>
        </w:tc>
      </w:tr>
      <w:tr w:rsidR="008F7585" w:rsidTr="008F7585">
        <w:trPr>
          <w:trHeight w:val="634"/>
        </w:trPr>
        <w:tc>
          <w:tcPr>
            <w:tcW w:w="3652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  <w:r w:rsidRPr="009C2051">
              <w:rPr>
                <w:rFonts w:ascii="仿宋" w:eastAsia="仿宋" w:hAnsi="仿宋" w:hint="eastAsia"/>
                <w:color w:val="333333"/>
                <w:sz w:val="32"/>
                <w:szCs w:val="32"/>
                <w:bdr w:val="none" w:sz="0" w:space="0" w:color="auto" w:frame="1"/>
              </w:rPr>
              <w:t>合同标的额</w:t>
            </w:r>
          </w:p>
        </w:tc>
        <w:tc>
          <w:tcPr>
            <w:tcW w:w="4394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</w:p>
        </w:tc>
      </w:tr>
      <w:tr w:rsidR="008F7585" w:rsidTr="008F7585">
        <w:trPr>
          <w:trHeight w:val="700"/>
        </w:trPr>
        <w:tc>
          <w:tcPr>
            <w:tcW w:w="3652" w:type="dxa"/>
          </w:tcPr>
          <w:p w:rsidR="008F7585" w:rsidRPr="009C2051" w:rsidRDefault="008F7585" w:rsidP="008F758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:bdr w:val="none" w:sz="0" w:space="0" w:color="auto" w:frame="1"/>
              </w:rPr>
            </w:pPr>
            <w:r w:rsidRPr="009C205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承办部门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处长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意见</w:t>
            </w:r>
            <w:r w:rsidRPr="009C205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394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</w:p>
        </w:tc>
      </w:tr>
      <w:tr w:rsidR="008F7585" w:rsidTr="008F7585">
        <w:trPr>
          <w:trHeight w:val="780"/>
        </w:trPr>
        <w:tc>
          <w:tcPr>
            <w:tcW w:w="3652" w:type="dxa"/>
          </w:tcPr>
          <w:p w:rsidR="008F7585" w:rsidRPr="009C2051" w:rsidRDefault="008F7585" w:rsidP="00600E52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:bdr w:val="none" w:sz="0" w:space="0" w:color="auto" w:frame="1"/>
              </w:rPr>
            </w:pPr>
            <w:r w:rsidRPr="009C205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财务部门意见</w:t>
            </w:r>
          </w:p>
        </w:tc>
        <w:tc>
          <w:tcPr>
            <w:tcW w:w="4394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</w:p>
        </w:tc>
      </w:tr>
      <w:tr w:rsidR="008F7585" w:rsidTr="008F7585">
        <w:trPr>
          <w:trHeight w:val="718"/>
        </w:trPr>
        <w:tc>
          <w:tcPr>
            <w:tcW w:w="3652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  <w:r w:rsidRPr="009C2051">
              <w:rPr>
                <w:rFonts w:ascii="仿宋" w:eastAsia="仿宋" w:hAnsi="仿宋" w:hint="eastAsia"/>
                <w:color w:val="333333"/>
                <w:sz w:val="32"/>
                <w:szCs w:val="32"/>
                <w:bdr w:val="none" w:sz="0" w:space="0" w:color="auto" w:frame="1"/>
              </w:rPr>
              <w:t>法律顾问意见</w:t>
            </w:r>
          </w:p>
        </w:tc>
        <w:tc>
          <w:tcPr>
            <w:tcW w:w="4394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</w:p>
        </w:tc>
      </w:tr>
      <w:tr w:rsidR="008F7585" w:rsidTr="008F7585">
        <w:trPr>
          <w:trHeight w:val="785"/>
        </w:trPr>
        <w:tc>
          <w:tcPr>
            <w:tcW w:w="3652" w:type="dxa"/>
          </w:tcPr>
          <w:p w:rsidR="008F7585" w:rsidRPr="009C2051" w:rsidRDefault="008F7585" w:rsidP="00600E52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:bdr w:val="none" w:sz="0" w:space="0" w:color="auto" w:frame="1"/>
              </w:rPr>
            </w:pPr>
            <w:r w:rsidRPr="009C205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主管所领导意见</w:t>
            </w:r>
          </w:p>
        </w:tc>
        <w:tc>
          <w:tcPr>
            <w:tcW w:w="4394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</w:p>
        </w:tc>
      </w:tr>
      <w:tr w:rsidR="008F7585" w:rsidTr="008F7585">
        <w:trPr>
          <w:trHeight w:val="723"/>
        </w:trPr>
        <w:tc>
          <w:tcPr>
            <w:tcW w:w="3652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  <w:r w:rsidRPr="009C2051">
              <w:rPr>
                <w:rFonts w:ascii="仿宋" w:eastAsia="仿宋" w:hAnsi="仿宋" w:hint="eastAsia"/>
                <w:color w:val="333333"/>
                <w:sz w:val="32"/>
                <w:szCs w:val="32"/>
                <w:bdr w:val="none" w:sz="0" w:space="0" w:color="auto" w:frame="1"/>
              </w:rPr>
              <w:t>所长审批意见</w:t>
            </w:r>
          </w:p>
        </w:tc>
        <w:tc>
          <w:tcPr>
            <w:tcW w:w="4394" w:type="dxa"/>
          </w:tcPr>
          <w:p w:rsidR="008F7585" w:rsidRPr="009C2051" w:rsidRDefault="008F7585" w:rsidP="00600E52">
            <w:pPr>
              <w:pStyle w:val="a3"/>
              <w:spacing w:line="360" w:lineRule="atLeast"/>
              <w:rPr>
                <w:rFonts w:ascii="仿宋" w:eastAsia="仿宋" w:hAnsi="仿宋"/>
                <w:color w:val="333333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8F7585" w:rsidRDefault="008F7585" w:rsidP="008F7585">
      <w:pPr>
        <w:pStyle w:val="a3"/>
        <w:shd w:val="clear" w:color="auto" w:fill="FFFFFF"/>
        <w:spacing w:line="360" w:lineRule="atLeast"/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8F7585" w:rsidRDefault="008F7585" w:rsidP="008F7585">
      <w:pPr>
        <w:pStyle w:val="a3"/>
        <w:shd w:val="clear" w:color="auto" w:fill="FFFFFF"/>
        <w:spacing w:line="360" w:lineRule="atLeast"/>
        <w:ind w:left="964" w:hangingChars="300" w:hanging="964"/>
        <w:rPr>
          <w:rFonts w:ascii="仿宋" w:eastAsia="仿宋" w:hAnsi="仿宋"/>
          <w:b/>
          <w:color w:val="333333"/>
          <w:sz w:val="32"/>
          <w:szCs w:val="32"/>
          <w:bdr w:val="none" w:sz="0" w:space="0" w:color="auto" w:frame="1"/>
        </w:rPr>
      </w:pPr>
      <w:r w:rsidRPr="009C2051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备注：</w:t>
      </w:r>
      <w:r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1</w:t>
      </w:r>
      <w:r w:rsidRPr="00A679B3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0万元</w:t>
      </w:r>
      <w:r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（含）</w:t>
      </w:r>
      <w:r w:rsidRPr="00A679B3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以上合同</w:t>
      </w:r>
      <w:r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须</w:t>
      </w:r>
      <w:r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填写合同审批单，并</w:t>
      </w:r>
      <w:r w:rsidRPr="00A679B3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统一编号管理</w:t>
      </w:r>
      <w:r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。</w:t>
      </w:r>
    </w:p>
    <w:p w:rsidR="008F7585" w:rsidRPr="009C2051" w:rsidRDefault="008F7585" w:rsidP="008F7585">
      <w:pPr>
        <w:pStyle w:val="a3"/>
        <w:shd w:val="clear" w:color="auto" w:fill="FFFFFF"/>
        <w:spacing w:line="360" w:lineRule="atLeast"/>
        <w:rPr>
          <w:rFonts w:ascii="仿宋" w:eastAsia="仿宋" w:hAnsi="仿宋"/>
          <w:b/>
          <w:color w:val="333333"/>
          <w:sz w:val="32"/>
          <w:szCs w:val="32"/>
          <w:bdr w:val="none" w:sz="0" w:space="0" w:color="auto" w:frame="1"/>
        </w:rPr>
      </w:pPr>
      <w:r w:rsidRPr="009C2051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合同审批</w:t>
      </w:r>
      <w:r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：</w:t>
      </w:r>
    </w:p>
    <w:p w:rsidR="008F7585" w:rsidRPr="009C2051" w:rsidRDefault="008F7585" w:rsidP="008F7585">
      <w:pPr>
        <w:pStyle w:val="a3"/>
        <w:shd w:val="clear" w:color="auto" w:fill="FFFFFF"/>
        <w:spacing w:line="360" w:lineRule="atLeast"/>
        <w:rPr>
          <w:rFonts w:ascii="仿宋" w:eastAsia="仿宋" w:hAnsi="仿宋"/>
          <w:b/>
          <w:color w:val="333333"/>
          <w:sz w:val="32"/>
          <w:szCs w:val="32"/>
        </w:rPr>
      </w:pPr>
      <w:r w:rsidRPr="009C2051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（一）10万—50万元（不含）合同由业务承办部门负责人、财务部门负责人、主管所领导共同审批；</w:t>
      </w:r>
      <w:r w:rsidRPr="009C2051">
        <w:rPr>
          <w:rFonts w:hint="eastAsia"/>
          <w:b/>
          <w:color w:val="333333"/>
          <w:sz w:val="32"/>
          <w:szCs w:val="32"/>
        </w:rPr>
        <w:t> </w:t>
      </w:r>
    </w:p>
    <w:p w:rsidR="008F7585" w:rsidRPr="009C2051" w:rsidRDefault="008F7585" w:rsidP="008F7585">
      <w:pPr>
        <w:pStyle w:val="a3"/>
        <w:shd w:val="clear" w:color="auto" w:fill="FFFFFF"/>
        <w:spacing w:line="360" w:lineRule="atLeast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（二</w:t>
      </w:r>
      <w:r w:rsidRPr="009C2051">
        <w:rPr>
          <w:rFonts w:ascii="仿宋" w:eastAsia="仿宋" w:hAnsi="仿宋" w:hint="eastAsia"/>
          <w:b/>
          <w:color w:val="333333"/>
          <w:sz w:val="32"/>
          <w:szCs w:val="32"/>
          <w:bdr w:val="none" w:sz="0" w:space="0" w:color="auto" w:frame="1"/>
        </w:rPr>
        <w:t>）50万元（含）以上的合同须由业务承办部门负责人、财务部门负责人、主管所领导、所长共同审批，并由法律顾问签署法律意见。</w:t>
      </w:r>
      <w:r w:rsidRPr="009C2051">
        <w:rPr>
          <w:rFonts w:hint="eastAsia"/>
          <w:b/>
          <w:color w:val="333333"/>
          <w:sz w:val="32"/>
          <w:szCs w:val="32"/>
        </w:rPr>
        <w:t> </w:t>
      </w:r>
    </w:p>
    <w:p w:rsidR="00CE714E" w:rsidRPr="008F7585" w:rsidRDefault="00CE714E" w:rsidP="008F7585">
      <w:pPr>
        <w:pStyle w:val="a3"/>
        <w:shd w:val="clear" w:color="auto" w:fill="FFFFFF"/>
        <w:spacing w:line="360" w:lineRule="atLeast"/>
      </w:pPr>
    </w:p>
    <w:sectPr w:rsidR="00CE714E" w:rsidRPr="008F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85"/>
    <w:rsid w:val="008F7585"/>
    <w:rsid w:val="00C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58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F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58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F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刘振华</dc:creator>
  <cp:lastModifiedBy>刘振华</cp:lastModifiedBy>
  <cp:revision>1</cp:revision>
  <dcterms:created xsi:type="dcterms:W3CDTF">2017-01-11T05:28:00Z</dcterms:created>
  <dcterms:modified xsi:type="dcterms:W3CDTF">2017-01-11T05:33:00Z</dcterms:modified>
</cp:coreProperties>
</file>