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关于毕业生成果维护、维护培养系统、提交答辩申请的通知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6" w:name="_GoBack"/>
      <w:bookmarkEnd w:id="6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520" w:lineRule="atLeast"/>
        <w:ind w:left="0" w:right="0" w:firstLine="602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研究生管理系统-成果维护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520" w:lineRule="atLeast"/>
        <w:ind w:left="602" w:leftChars="0" w:right="0" w:rightChars="0"/>
        <w:jc w:val="both"/>
        <w:rPr>
          <w:rFonts w:hint="default" w:ascii="Times New Roman" w:hAnsi="Times New Roman" w:cs="Times New Roman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网址：http://yjsgl.tianshanzw.cn:86/yjsgl/login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论文查重前，毕业生需在</w:t>
      </w:r>
      <w:r>
        <w:rPr>
          <w:rFonts w:hint="eastAsia" w:ascii="仿宋" w:hAnsi="仿宋" w:eastAsia="仿宋" w:cs="仿宋"/>
          <w:b/>
          <w:i w:val="0"/>
          <w:caps w:val="0"/>
          <w:color w:val="FF0000"/>
          <w:spacing w:val="0"/>
          <w:kern w:val="0"/>
          <w:sz w:val="30"/>
          <w:szCs w:val="30"/>
          <w:shd w:val="clear" w:fill="FFFFFF"/>
          <w:lang w:val="en-US" w:eastAsia="zh-CN" w:bidi="ar"/>
        </w:rPr>
        <w:t>研究所的研究生管理系统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-成果中维护本人已发表文章信息，可选择在谷歌镜像下载Endnote软件.enw格式的文件进行上传，填写全部信息，上传jpg. 图片格式的文章首页。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注意：SCI、EI及核心文章维护时需选择“有Endnote文件”进行维护，并填写影响因子、分区等信息。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instrText xml:space="preserve"> HYPERLINK "http://sep.ucas.ac.cn/" \t "http://www.xjipc.cas.cn/yjs/_blank" </w:instrTex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中国科学院教育云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-培养系统维护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20" w:lineRule="atLeast"/>
        <w:ind w:left="602" w:leftChars="0" w:right="0" w:rightChars="0"/>
        <w:jc w:val="both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网址：http://sep.ucas.ac.cn/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 “个人信息维护”的部分数据来自学籍管理系统，如有问题请联系研究生部更新信息。</w:t>
      </w:r>
      <w:r>
        <w:drawing>
          <wp:inline distT="0" distB="0" distL="114300" distR="114300">
            <wp:extent cx="1143000" cy="23622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2.个人简历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02920" cy="26670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部分，需维护本科至现阶段信息，填写格式如下：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  <w:lang w:val="en-US" w:eastAsia="zh-CN"/>
        </w:rPr>
        <w:t>2017年9月—2020年9月 中国科学院新疆理化技术研究所 学生 攻读博士学位（博士填写）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  <w:lang w:val="en-US" w:eastAsia="zh-CN"/>
        </w:rPr>
        <w:t>2017年9月—2020年9月 中国科学院新疆理化技术研究所 学生 攻读硕士学位（硕士填写）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3.奖惩信息：在学期间若无奖惩或惩处情况请填写“无”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4.论文-答辩申请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学生收到论文评阅意见后（收到一份发一份），查看评阅意见的打分情况是否有误，并请下载word版评阅书并发送给导师，同时在导师的指导下对论文进行进一步修改。</w:t>
      </w:r>
    </w:p>
    <w:p>
      <w:pPr>
        <w:numPr>
          <w:ilvl w:val="0"/>
          <w:numId w:val="3"/>
        </w:numPr>
        <w:spacing w:line="620" w:lineRule="exact"/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评阅后修改情况说明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是由评阅专家给出意见后，根据专家提出的修改意见，将改进内容或补充内容加入。（送审后答辩前必填）</w:t>
      </w:r>
    </w:p>
    <w:p>
      <w:pPr>
        <w:numPr>
          <w:ilvl w:val="0"/>
          <w:numId w:val="0"/>
        </w:numPr>
        <w:spacing w:line="620" w:lineRule="exact"/>
        <w:ind w:leftChars="0"/>
      </w:pPr>
      <w:r>
        <w:drawing>
          <wp:inline distT="0" distB="0" distL="114300" distR="114300">
            <wp:extent cx="1927860" cy="541020"/>
            <wp:effectExtent l="0" t="0" r="7620" b="762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20" w:lineRule="exact"/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填写参考格式：</w:t>
      </w:r>
    </w:p>
    <w:p>
      <w:pPr>
        <w:numPr>
          <w:ilvl w:val="0"/>
          <w:numId w:val="0"/>
        </w:numPr>
        <w:spacing w:line="620" w:lineRule="exact"/>
        <w:ind w:leftChars="0"/>
        <w:rPr>
          <w:rFonts w:hint="eastAsia"/>
          <w:lang w:val="en-US" w:eastAsia="zh-CN"/>
        </w:rPr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4445</wp:posOffset>
            </wp:positionV>
            <wp:extent cx="5273675" cy="1241425"/>
            <wp:effectExtent l="0" t="0" r="14605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spacing w:line="620" w:lineRule="exact"/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答辩后修改情况说明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是由答辩专家给出意见后，学生只需将修改内容或补充内容加入。（答辩后必填）</w:t>
      </w:r>
    </w:p>
    <w:p>
      <w:pPr>
        <w:numPr>
          <w:ilvl w:val="0"/>
          <w:numId w:val="0"/>
        </w:numPr>
        <w:spacing w:line="620" w:lineRule="exact"/>
        <w:ind w:leftChars="0"/>
      </w:pPr>
      <w:r>
        <w:drawing>
          <wp:inline distT="0" distB="0" distL="114300" distR="114300">
            <wp:extent cx="1828800" cy="594360"/>
            <wp:effectExtent l="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20" w:lineRule="exact"/>
        <w:ind w:leftChars="0"/>
      </w:pPr>
      <w:r>
        <w:rPr>
          <w:rFonts w:hint="eastAsia"/>
          <w:b/>
          <w:bCs/>
          <w:lang w:val="en-US" w:eastAsia="zh-CN"/>
        </w:rPr>
        <w:t>填写参考格式：</w:t>
      </w:r>
    </w:p>
    <w:p>
      <w:pPr>
        <w:numPr>
          <w:ilvl w:val="0"/>
          <w:numId w:val="0"/>
        </w:numPr>
        <w:spacing w:line="620" w:lineRule="exact"/>
        <w:ind w:leftChars="0"/>
        <w:rPr>
          <w:rFonts w:hint="eastAsia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208280</wp:posOffset>
            </wp:positionV>
            <wp:extent cx="6200140" cy="726440"/>
            <wp:effectExtent l="0" t="0" r="2540" b="50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spacing w:line="620" w:lineRule="exact"/>
        <w:ind w:left="420" w:leftChars="0" w:hanging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学位论文起止时间从开题时间至完成论文</w:t>
      </w: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不少于1年</w:t>
      </w:r>
    </w:p>
    <w:p>
      <w:pPr>
        <w:numPr>
          <w:ilvl w:val="0"/>
          <w:numId w:val="4"/>
        </w:numPr>
        <w:spacing w:line="620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成果</w:t>
      </w:r>
    </w:p>
    <w:p>
      <w:pPr>
        <w:numPr>
          <w:ilvl w:val="0"/>
          <w:numId w:val="5"/>
        </w:numPr>
        <w:spacing w:line="620" w:lineRule="exact"/>
        <w:ind w:left="420" w:leftChars="0" w:hanging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发表文章：第1署名单位必须是新疆理化技术研究所，第2署名单位是中国科学院大学</w:t>
      </w:r>
    </w:p>
    <w:p>
      <w:pPr>
        <w:numPr>
          <w:ilvl w:val="0"/>
          <w:numId w:val="5"/>
        </w:numPr>
        <w:spacing w:line="620" w:lineRule="exact"/>
        <w:ind w:left="420" w:leftChars="0" w:hanging="42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专利：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必须填写专利号、第1署名单位为新疆理化技术研究所</w:t>
      </w:r>
    </w:p>
    <w:p>
      <w:pPr>
        <w:numPr>
          <w:ilvl w:val="0"/>
          <w:numId w:val="4"/>
        </w:numPr>
        <w:spacing w:line="62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实践（学术报告及社会实践）：参加的学术会议，公益活动，科普报告都可以计算在内。此环节不需要培养单位审核，导师审核通过后学生会自动获得1学分。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instrText xml:space="preserve"> HYPERLINK "http://sep.ucas.ac.cn/" \t "http://www.xjipc.cas.cn/yjs/_blank" </w:instrTex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中国科学院教育云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培养系统提交答辩申请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网址：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instrText xml:space="preserve"> HYPERLINK "http://sep.ucas.ac.cn/" </w:instrTex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http://sep.ucas.ac.cn/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论文送审前，需在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instrText xml:space="preserve"> HYPERLINK "http://sep.ucas.ac.cn/" \t "http://www.xjipc.cas.cn/yjs/_blank" </w:instrTex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中国科学院教育云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-培养系统提交答辩申请，研究生部将对申请人进行答辩资格审查，内容包括：开题、中期、课程学分、成果、文章署名及培养系统成果维护情况等。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具体内容请查看：</w:t>
      </w:r>
      <w:bookmarkStart w:id="0" w:name="_Toc521873713"/>
      <w:bookmarkStart w:id="1" w:name="_Toc12541_WPSOffice_Level2"/>
      <w:bookmarkStart w:id="2" w:name="_Toc26356_WPSOffice_Level1"/>
      <w:bookmarkStart w:id="3" w:name="_Toc17282298"/>
      <w:bookmarkStart w:id="4" w:name="_Toc25776"/>
      <w:bookmarkStart w:id="5" w:name="_Toc17281675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《中国科学院新疆理化所硕(博)士学位授予工作细则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spacing w:line="620" w:lineRule="exact"/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9C68D"/>
    <w:multiLevelType w:val="singleLevel"/>
    <w:tmpl w:val="92B9C6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96C93B"/>
    <w:multiLevelType w:val="singleLevel"/>
    <w:tmpl w:val="A396C9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062494"/>
    <w:multiLevelType w:val="singleLevel"/>
    <w:tmpl w:val="FF06249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CCD96BB"/>
    <w:multiLevelType w:val="singleLevel"/>
    <w:tmpl w:val="2CCD96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B88C96E"/>
    <w:multiLevelType w:val="singleLevel"/>
    <w:tmpl w:val="3B88C9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6104"/>
    <w:rsid w:val="2F8C6104"/>
    <w:rsid w:val="73A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2021-03-11T11:08:00Z</dcterms:created>
  <dc:creator>鱼自知</dc:creator>
  <cp:lastModifiedBy>鱼自知</cp:lastModifiedBy>
  <dcterms:modified xsi:type="dcterms:W3CDTF">2021-03-11T11:26:39Z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